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8B" w:rsidRDefault="008A408B" w:rsidP="008A408B">
      <w:pPr>
        <w:spacing w:after="0" w:line="240" w:lineRule="auto"/>
        <w:ind w:firstLine="709"/>
        <w:jc w:val="center"/>
        <w:rPr>
          <w:rFonts w:ascii="Times New Roman" w:hAnsi="Times New Roman"/>
          <w:b/>
          <w:sz w:val="28"/>
          <w:szCs w:val="28"/>
        </w:rPr>
      </w:pPr>
      <w:r>
        <w:rPr>
          <w:rFonts w:ascii="Times New Roman" w:hAnsi="Times New Roman"/>
          <w:b/>
          <w:sz w:val="28"/>
          <w:szCs w:val="28"/>
        </w:rPr>
        <w:t>Обобщенные ответы на вопросы,</w:t>
      </w:r>
    </w:p>
    <w:p w:rsidR="008A408B" w:rsidRDefault="008A408B" w:rsidP="008A408B">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полученные </w:t>
      </w:r>
      <w:r w:rsidR="00457369">
        <w:rPr>
          <w:rFonts w:ascii="Times New Roman" w:hAnsi="Times New Roman"/>
          <w:b/>
          <w:sz w:val="28"/>
          <w:szCs w:val="28"/>
        </w:rPr>
        <w:t>к проведению</w:t>
      </w:r>
      <w:r>
        <w:rPr>
          <w:rFonts w:ascii="Times New Roman" w:hAnsi="Times New Roman"/>
          <w:b/>
          <w:sz w:val="28"/>
          <w:szCs w:val="28"/>
        </w:rPr>
        <w:t xml:space="preserve"> публичных обсуждений</w:t>
      </w:r>
    </w:p>
    <w:p w:rsidR="008A408B" w:rsidRDefault="008A408B" w:rsidP="008A408B">
      <w:pPr>
        <w:spacing w:after="0" w:line="240" w:lineRule="auto"/>
        <w:ind w:firstLine="709"/>
        <w:jc w:val="center"/>
        <w:rPr>
          <w:rFonts w:ascii="Times New Roman" w:hAnsi="Times New Roman"/>
          <w:b/>
          <w:sz w:val="28"/>
          <w:szCs w:val="28"/>
        </w:rPr>
      </w:pPr>
      <w:r>
        <w:rPr>
          <w:rFonts w:ascii="Times New Roman" w:hAnsi="Times New Roman"/>
          <w:b/>
          <w:sz w:val="28"/>
          <w:szCs w:val="28"/>
        </w:rPr>
        <w:t>правоприменительной практики надзорной деятельности</w:t>
      </w:r>
    </w:p>
    <w:p w:rsidR="00F94A26" w:rsidRDefault="008A408B" w:rsidP="008A408B">
      <w:pPr>
        <w:spacing w:after="0" w:line="240" w:lineRule="auto"/>
        <w:ind w:firstLine="709"/>
        <w:jc w:val="center"/>
        <w:rPr>
          <w:rFonts w:ascii="Times New Roman" w:hAnsi="Times New Roman"/>
          <w:b/>
          <w:sz w:val="28"/>
          <w:szCs w:val="28"/>
        </w:rPr>
      </w:pPr>
      <w:r>
        <w:rPr>
          <w:rFonts w:ascii="Times New Roman" w:hAnsi="Times New Roman"/>
          <w:b/>
          <w:sz w:val="28"/>
          <w:szCs w:val="28"/>
        </w:rPr>
        <w:t>Межрегионального управления Росприроднадзора по Астраханской                             и Волгоградской областям за</w:t>
      </w:r>
      <w:r w:rsidR="002C6E63">
        <w:rPr>
          <w:rFonts w:ascii="Times New Roman" w:hAnsi="Times New Roman"/>
          <w:b/>
          <w:sz w:val="28"/>
          <w:szCs w:val="28"/>
        </w:rPr>
        <w:t xml:space="preserve"> 2020</w:t>
      </w:r>
      <w:r w:rsidR="00457369">
        <w:rPr>
          <w:rFonts w:ascii="Times New Roman" w:hAnsi="Times New Roman"/>
          <w:b/>
          <w:sz w:val="28"/>
          <w:szCs w:val="28"/>
        </w:rPr>
        <w:t xml:space="preserve"> год</w:t>
      </w:r>
    </w:p>
    <w:p w:rsidR="003E4954" w:rsidRDefault="00F94A26" w:rsidP="008A408B">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003E4954">
        <w:rPr>
          <w:rFonts w:ascii="Times New Roman" w:hAnsi="Times New Roman"/>
          <w:b/>
          <w:sz w:val="28"/>
          <w:szCs w:val="28"/>
        </w:rPr>
        <w:t>Астраханская область</w:t>
      </w:r>
      <w:r w:rsidR="00D32AA8">
        <w:rPr>
          <w:rFonts w:ascii="Times New Roman" w:hAnsi="Times New Roman"/>
          <w:b/>
          <w:sz w:val="28"/>
          <w:szCs w:val="28"/>
        </w:rPr>
        <w:t xml:space="preserve"> (03.06.2021)</w:t>
      </w:r>
    </w:p>
    <w:p w:rsidR="008A408B" w:rsidRDefault="008A408B" w:rsidP="008A408B">
      <w:pPr>
        <w:tabs>
          <w:tab w:val="left" w:pos="8685"/>
        </w:tabs>
        <w:spacing w:after="0" w:line="240" w:lineRule="auto"/>
        <w:ind w:firstLine="709"/>
        <w:jc w:val="both"/>
        <w:rPr>
          <w:rFonts w:ascii="Times New Roman" w:hAnsi="Times New Roman"/>
          <w:sz w:val="28"/>
          <w:szCs w:val="28"/>
        </w:rPr>
      </w:pPr>
    </w:p>
    <w:p w:rsidR="008A408B" w:rsidRDefault="008A408B" w:rsidP="008A408B">
      <w:pPr>
        <w:widowControl w:val="0"/>
        <w:tabs>
          <w:tab w:val="left" w:pos="851"/>
        </w:tabs>
        <w:autoSpaceDE w:val="0"/>
        <w:autoSpaceDN w:val="0"/>
        <w:adjustRightInd w:val="0"/>
        <w:spacing w:after="0" w:line="240" w:lineRule="auto"/>
        <w:ind w:firstLine="709"/>
        <w:jc w:val="both"/>
        <w:rPr>
          <w:rFonts w:ascii="Times New Roman" w:hAnsi="Times New Roman"/>
          <w:color w:val="000000"/>
          <w:kern w:val="2"/>
          <w:sz w:val="28"/>
          <w:szCs w:val="28"/>
          <w:lang w:bidi="hi-IN"/>
        </w:rPr>
      </w:pPr>
      <w:r>
        <w:rPr>
          <w:rFonts w:ascii="Times New Roman" w:hAnsi="Times New Roman"/>
          <w:color w:val="000000"/>
          <w:kern w:val="2"/>
          <w:sz w:val="28"/>
          <w:szCs w:val="28"/>
          <w:lang w:bidi="hi-IN"/>
        </w:rPr>
        <w:t xml:space="preserve">При подготовке </w:t>
      </w:r>
      <w:r w:rsidR="00457369">
        <w:rPr>
          <w:rFonts w:ascii="Times New Roman" w:hAnsi="Times New Roman"/>
          <w:color w:val="000000"/>
          <w:kern w:val="2"/>
          <w:sz w:val="28"/>
          <w:szCs w:val="28"/>
          <w:lang w:bidi="hi-IN"/>
        </w:rPr>
        <w:t>к проведению</w:t>
      </w:r>
      <w:r>
        <w:rPr>
          <w:rFonts w:ascii="Times New Roman" w:hAnsi="Times New Roman"/>
          <w:color w:val="000000"/>
          <w:kern w:val="2"/>
          <w:sz w:val="28"/>
          <w:szCs w:val="28"/>
          <w:lang w:bidi="hi-IN"/>
        </w:rPr>
        <w:t xml:space="preserve"> публичных обсуждений правоприменительной практики надзорной деятельности </w:t>
      </w:r>
      <w:r>
        <w:rPr>
          <w:rFonts w:ascii="Times New Roman" w:hAnsi="Times New Roman"/>
          <w:sz w:val="28"/>
          <w:szCs w:val="28"/>
        </w:rPr>
        <w:t xml:space="preserve">Межрегионального управления Росприроднадзора по Астраханской и Волгоградской областям                    за </w:t>
      </w:r>
      <w:r w:rsidR="003E4954">
        <w:rPr>
          <w:rFonts w:ascii="Times New Roman" w:hAnsi="Times New Roman"/>
          <w:sz w:val="28"/>
          <w:szCs w:val="28"/>
        </w:rPr>
        <w:t>2020 год</w:t>
      </w:r>
      <w:r>
        <w:rPr>
          <w:rFonts w:ascii="Times New Roman" w:hAnsi="Times New Roman"/>
          <w:color w:val="000000"/>
          <w:kern w:val="2"/>
          <w:sz w:val="28"/>
          <w:szCs w:val="28"/>
          <w:lang w:bidi="hi-IN"/>
        </w:rPr>
        <w:t xml:space="preserve"> был организован сервис по приему вопросов путем размещения соответствующей анкеты в сети Интернет.</w:t>
      </w:r>
    </w:p>
    <w:p w:rsidR="00461A3C" w:rsidRDefault="00F94A26" w:rsidP="008A408B">
      <w:pPr>
        <w:widowControl w:val="0"/>
        <w:tabs>
          <w:tab w:val="left" w:pos="851"/>
        </w:tabs>
        <w:autoSpaceDE w:val="0"/>
        <w:autoSpaceDN w:val="0"/>
        <w:adjustRightInd w:val="0"/>
        <w:spacing w:after="0" w:line="240" w:lineRule="auto"/>
        <w:ind w:firstLine="709"/>
        <w:jc w:val="both"/>
        <w:rPr>
          <w:rFonts w:ascii="Times New Roman" w:hAnsi="Times New Roman"/>
          <w:color w:val="000000"/>
          <w:kern w:val="2"/>
          <w:sz w:val="28"/>
          <w:szCs w:val="28"/>
          <w:lang w:bidi="hi-IN"/>
        </w:rPr>
      </w:pPr>
      <w:r w:rsidRPr="00F94A26">
        <w:rPr>
          <w:rFonts w:ascii="Times New Roman" w:eastAsia="Times New Roman" w:hAnsi="Times New Roman" w:cs="Times New Roman"/>
          <w:sz w:val="28"/>
          <w:szCs w:val="28"/>
          <w:lang w:eastAsia="ru-RU"/>
        </w:rPr>
        <w:t>По вопросам, требующим дополнительной проработки, информация с разъяснением будет направлена в адрес заявителей и размещена официальном сайте Межрегионального управления.</w:t>
      </w:r>
    </w:p>
    <w:p w:rsidR="008A408B" w:rsidRDefault="008A408B" w:rsidP="00070655">
      <w:pPr>
        <w:spacing w:after="0" w:line="240" w:lineRule="auto"/>
        <w:jc w:val="both"/>
        <w:rPr>
          <w:rFonts w:ascii="Times New Roman" w:hAnsi="Times New Roman"/>
          <w:color w:val="333333"/>
          <w:sz w:val="28"/>
          <w:szCs w:val="28"/>
          <w:shd w:val="clear" w:color="auto" w:fill="FFFFFF"/>
        </w:rPr>
      </w:pPr>
    </w:p>
    <w:p w:rsidR="0015015E" w:rsidRDefault="00E4538D" w:rsidP="003E4954">
      <w:pPr>
        <w:spacing w:after="0" w:line="240" w:lineRule="auto"/>
        <w:ind w:firstLine="709"/>
        <w:jc w:val="center"/>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Перечень вопросов и ответов на них:</w:t>
      </w:r>
    </w:p>
    <w:p w:rsidR="00E4538D" w:rsidRDefault="00E4538D" w:rsidP="001C035E">
      <w:pPr>
        <w:spacing w:after="0" w:line="240" w:lineRule="auto"/>
        <w:ind w:firstLine="709"/>
        <w:jc w:val="both"/>
        <w:rPr>
          <w:rFonts w:ascii="Times New Roman" w:hAnsi="Times New Roman"/>
          <w:b/>
          <w:color w:val="333333"/>
          <w:sz w:val="28"/>
          <w:szCs w:val="28"/>
          <w:shd w:val="clear" w:color="auto" w:fill="FFFFFF"/>
        </w:rPr>
      </w:pPr>
    </w:p>
    <w:tbl>
      <w:tblPr>
        <w:tblStyle w:val="ab"/>
        <w:tblW w:w="11057" w:type="dxa"/>
        <w:tblInd w:w="-743" w:type="dxa"/>
        <w:tblLook w:val="04A0" w:firstRow="1" w:lastRow="0" w:firstColumn="1" w:lastColumn="0" w:noHBand="0" w:noVBand="1"/>
      </w:tblPr>
      <w:tblGrid>
        <w:gridCol w:w="709"/>
        <w:gridCol w:w="4962"/>
        <w:gridCol w:w="5386"/>
      </w:tblGrid>
      <w:tr w:rsidR="00DD1164" w:rsidTr="00421520">
        <w:tc>
          <w:tcPr>
            <w:tcW w:w="709" w:type="dxa"/>
          </w:tcPr>
          <w:p w:rsidR="00DD1164" w:rsidRPr="00C0263E" w:rsidRDefault="00DD1164" w:rsidP="00DD1164">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п/п №</w:t>
            </w:r>
          </w:p>
        </w:tc>
        <w:tc>
          <w:tcPr>
            <w:tcW w:w="4962" w:type="dxa"/>
          </w:tcPr>
          <w:p w:rsidR="00DD1164" w:rsidRPr="00C0263E" w:rsidRDefault="00DD1164" w:rsidP="00DD1164">
            <w:pPr>
              <w:jc w:val="center"/>
              <w:rPr>
                <w:rFonts w:ascii="Times New Roman" w:hAnsi="Times New Roman" w:cs="Times New Roman"/>
                <w:sz w:val="28"/>
                <w:szCs w:val="28"/>
                <w:shd w:val="clear" w:color="auto" w:fill="FFFFFF"/>
              </w:rPr>
            </w:pPr>
            <w:r w:rsidRPr="00C0263E">
              <w:rPr>
                <w:rFonts w:ascii="Times New Roman" w:hAnsi="Times New Roman" w:cs="Times New Roman"/>
                <w:sz w:val="28"/>
                <w:szCs w:val="28"/>
                <w:shd w:val="clear" w:color="auto" w:fill="FFFFFF"/>
              </w:rPr>
              <w:t>Вопрос</w:t>
            </w:r>
          </w:p>
        </w:tc>
        <w:tc>
          <w:tcPr>
            <w:tcW w:w="5386" w:type="dxa"/>
          </w:tcPr>
          <w:p w:rsidR="00DD1164" w:rsidRPr="00C0263E" w:rsidRDefault="00DD1164" w:rsidP="00DD1164">
            <w:pPr>
              <w:jc w:val="center"/>
              <w:rPr>
                <w:rFonts w:ascii="Times New Roman" w:hAnsi="Times New Roman" w:cs="Times New Roman"/>
                <w:sz w:val="28"/>
                <w:szCs w:val="28"/>
                <w:shd w:val="clear" w:color="auto" w:fill="FFFFFF"/>
              </w:rPr>
            </w:pPr>
            <w:r w:rsidRPr="00C0263E">
              <w:rPr>
                <w:rFonts w:ascii="Times New Roman" w:hAnsi="Times New Roman" w:cs="Times New Roman"/>
                <w:sz w:val="28"/>
                <w:szCs w:val="28"/>
                <w:shd w:val="clear" w:color="auto" w:fill="FFFFFF"/>
              </w:rPr>
              <w:t>Ответ</w:t>
            </w:r>
          </w:p>
        </w:tc>
      </w:tr>
      <w:tr w:rsidR="003E4954" w:rsidTr="00421520">
        <w:tc>
          <w:tcPr>
            <w:tcW w:w="709" w:type="dxa"/>
          </w:tcPr>
          <w:p w:rsidR="003E4954" w:rsidRDefault="002701DC" w:rsidP="00DD1164">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4962" w:type="dxa"/>
          </w:tcPr>
          <w:p w:rsidR="003E4954" w:rsidRPr="00852DC2" w:rsidRDefault="00852DC2" w:rsidP="00852DC2">
            <w:pPr>
              <w:jc w:val="both"/>
              <w:rPr>
                <w:rFonts w:ascii="Times New Roman" w:hAnsi="Times New Roman" w:cs="Times New Roman"/>
                <w:sz w:val="24"/>
                <w:szCs w:val="24"/>
                <w:shd w:val="clear" w:color="auto" w:fill="FFFFFF"/>
              </w:rPr>
            </w:pPr>
            <w:r w:rsidRPr="00852DC2">
              <w:rPr>
                <w:rFonts w:ascii="Times New Roman" w:hAnsi="Times New Roman" w:cs="Times New Roman"/>
                <w:sz w:val="24"/>
                <w:szCs w:val="24"/>
                <w:shd w:val="clear" w:color="auto" w:fill="FFFFFF"/>
              </w:rPr>
              <w:t>Изменения в отчетности, принятые с 01.01.2021. Нужен ли технический отчет?</w:t>
            </w:r>
          </w:p>
        </w:tc>
        <w:tc>
          <w:tcPr>
            <w:tcW w:w="5386" w:type="dxa"/>
          </w:tcPr>
          <w:p w:rsidR="00F94A26" w:rsidRPr="00F94A26" w:rsidRDefault="00F94A26" w:rsidP="00F94A26">
            <w:pPr>
              <w:jc w:val="both"/>
              <w:rPr>
                <w:rFonts w:ascii="Times New Roman" w:hAnsi="Times New Roman" w:cs="Times New Roman"/>
                <w:sz w:val="24"/>
                <w:szCs w:val="24"/>
                <w:shd w:val="clear" w:color="auto" w:fill="FFFFFF"/>
              </w:rPr>
            </w:pPr>
            <w:r w:rsidRPr="00F94A26">
              <w:rPr>
                <w:rFonts w:ascii="Times New Roman" w:hAnsi="Times New Roman" w:cs="Times New Roman"/>
                <w:sz w:val="24"/>
                <w:szCs w:val="24"/>
                <w:shd w:val="clear" w:color="auto" w:fill="FFFFFF"/>
              </w:rPr>
              <w:t>В соответствии с приказом Министерства природных ресурсов и экологии  Российской</w:t>
            </w:r>
            <w:r>
              <w:rPr>
                <w:rFonts w:ascii="Times New Roman" w:hAnsi="Times New Roman" w:cs="Times New Roman"/>
                <w:sz w:val="24"/>
                <w:szCs w:val="24"/>
                <w:shd w:val="clear" w:color="auto" w:fill="FFFFFF"/>
              </w:rPr>
              <w:t xml:space="preserve"> Федерации от 08 декабря 2020</w:t>
            </w:r>
            <w:r w:rsidRPr="00F94A26">
              <w:rPr>
                <w:rFonts w:ascii="Times New Roman" w:hAnsi="Times New Roman" w:cs="Times New Roman"/>
                <w:sz w:val="24"/>
                <w:szCs w:val="24"/>
                <w:shd w:val="clear" w:color="auto" w:fill="FFFFFF"/>
              </w:rPr>
              <w:t xml:space="preserve"> № 1029 «Об утверждении порядка разработки и утверждения нормативов образования отходов и лимитов на их размещение» и  приказом Министерства природных ресурсов и экологии  Росси</w:t>
            </w:r>
            <w:r>
              <w:rPr>
                <w:rFonts w:ascii="Times New Roman" w:hAnsi="Times New Roman" w:cs="Times New Roman"/>
                <w:sz w:val="24"/>
                <w:szCs w:val="24"/>
                <w:shd w:val="clear" w:color="auto" w:fill="FFFFFF"/>
              </w:rPr>
              <w:t>йской Федерации от 07.12.2020</w:t>
            </w:r>
            <w:r w:rsidRPr="00F94A26">
              <w:rPr>
                <w:rFonts w:ascii="Times New Roman" w:hAnsi="Times New Roman" w:cs="Times New Roman"/>
                <w:sz w:val="24"/>
                <w:szCs w:val="24"/>
                <w:shd w:val="clear" w:color="auto" w:fill="FFFFFF"/>
              </w:rPr>
              <w:t xml:space="preserve"> № 1021 «Об утверждении методический указаний по разработке проектов нормативов образования отходов и лимитов на их размещение» не предусмотрены составление и предоставление технического отчета по обращению с отходами в период действия НООЛР.</w:t>
            </w:r>
          </w:p>
          <w:p w:rsidR="003E4954" w:rsidRPr="00C0263E" w:rsidRDefault="00F94A26" w:rsidP="00F94A26">
            <w:pPr>
              <w:jc w:val="both"/>
              <w:rPr>
                <w:rFonts w:ascii="Times New Roman" w:hAnsi="Times New Roman" w:cs="Times New Roman"/>
                <w:sz w:val="28"/>
                <w:szCs w:val="28"/>
                <w:shd w:val="clear" w:color="auto" w:fill="FFFFFF"/>
              </w:rPr>
            </w:pPr>
            <w:r w:rsidRPr="00F94A26">
              <w:rPr>
                <w:rFonts w:ascii="Times New Roman" w:hAnsi="Times New Roman" w:cs="Times New Roman"/>
                <w:sz w:val="24"/>
                <w:szCs w:val="24"/>
                <w:shd w:val="clear" w:color="auto" w:fill="FFFFFF"/>
              </w:rPr>
              <w:t>Одновременно, Межрегиональное Управление сообщает, что письменные разъяснения не содержат правовых норм или общих правил, конкретизирующих нормативные предписания, не являются нормативными правовыми актами вне зависимости от того, дано ли разъяснение конкретному заявителю либо неопределенному кругу лиц. Указанные письма имеют информационно-разъяснительный характер по вопросам применения законодательства РФ в сфере охраны окружающей среды.</w:t>
            </w:r>
          </w:p>
        </w:tc>
      </w:tr>
      <w:tr w:rsidR="003E4954" w:rsidTr="00421520">
        <w:tc>
          <w:tcPr>
            <w:tcW w:w="709" w:type="dxa"/>
          </w:tcPr>
          <w:p w:rsidR="003E4954" w:rsidRDefault="002701DC" w:rsidP="00DD1164">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4962" w:type="dxa"/>
          </w:tcPr>
          <w:p w:rsidR="003E4954" w:rsidRPr="00E70DBE" w:rsidRDefault="00E70DBE" w:rsidP="00E70DBE">
            <w:pPr>
              <w:jc w:val="both"/>
              <w:rPr>
                <w:rFonts w:ascii="Times New Roman" w:hAnsi="Times New Roman" w:cs="Times New Roman"/>
                <w:sz w:val="24"/>
                <w:szCs w:val="24"/>
                <w:shd w:val="clear" w:color="auto" w:fill="FFFFFF"/>
              </w:rPr>
            </w:pPr>
            <w:r w:rsidRPr="00E70DBE">
              <w:rPr>
                <w:rFonts w:ascii="Times New Roman" w:hAnsi="Times New Roman" w:cs="Times New Roman"/>
                <w:sz w:val="24"/>
                <w:szCs w:val="24"/>
                <w:shd w:val="clear" w:color="auto" w:fill="FFFFFF"/>
              </w:rPr>
              <w:t xml:space="preserve">О необходимости получения государственной экологической экспертизы, на какую именно деятельность она нужна? Только планируемую или деятельность, которая уже </w:t>
            </w:r>
            <w:r w:rsidRPr="00E70DBE">
              <w:rPr>
                <w:rFonts w:ascii="Times New Roman" w:hAnsi="Times New Roman" w:cs="Times New Roman"/>
                <w:sz w:val="24"/>
                <w:szCs w:val="24"/>
                <w:shd w:val="clear" w:color="auto" w:fill="FFFFFF"/>
              </w:rPr>
              <w:lastRenderedPageBreak/>
              <w:t>давно ведется?</w:t>
            </w:r>
          </w:p>
        </w:tc>
        <w:tc>
          <w:tcPr>
            <w:tcW w:w="5386" w:type="dxa"/>
          </w:tcPr>
          <w:p w:rsidR="003E4954" w:rsidRDefault="00E70DBE" w:rsidP="00E70DBE">
            <w:pPr>
              <w:jc w:val="both"/>
              <w:rPr>
                <w:rFonts w:ascii="Times New Roman" w:hAnsi="Times New Roman" w:cs="Times New Roman"/>
                <w:sz w:val="24"/>
                <w:szCs w:val="24"/>
                <w:shd w:val="clear" w:color="auto" w:fill="FFFFFF"/>
              </w:rPr>
            </w:pPr>
            <w:r w:rsidRPr="00E70DBE">
              <w:rPr>
                <w:rFonts w:ascii="Times New Roman" w:hAnsi="Times New Roman" w:cs="Times New Roman"/>
                <w:sz w:val="24"/>
                <w:szCs w:val="24"/>
                <w:shd w:val="clear" w:color="auto" w:fill="FFFFFF"/>
              </w:rPr>
              <w:lastRenderedPageBreak/>
              <w:t xml:space="preserve">Согласно Федеральному закону от 23.11.1995 </w:t>
            </w:r>
            <w:r>
              <w:rPr>
                <w:rFonts w:ascii="Times New Roman" w:hAnsi="Times New Roman" w:cs="Times New Roman"/>
                <w:sz w:val="24"/>
                <w:szCs w:val="24"/>
                <w:shd w:val="clear" w:color="auto" w:fill="FFFFFF"/>
              </w:rPr>
              <w:br/>
            </w:r>
            <w:r w:rsidRPr="00E70DBE">
              <w:rPr>
                <w:rFonts w:ascii="Times New Roman" w:hAnsi="Times New Roman" w:cs="Times New Roman"/>
                <w:sz w:val="24"/>
                <w:szCs w:val="24"/>
                <w:shd w:val="clear" w:color="auto" w:fill="FFFFFF"/>
              </w:rPr>
              <w:t>№ 174 «Об экологической экспертизе» государственная экологическая экспертиза осуществляется для планиру</w:t>
            </w:r>
            <w:r>
              <w:rPr>
                <w:rFonts w:ascii="Times New Roman" w:hAnsi="Times New Roman" w:cs="Times New Roman"/>
                <w:sz w:val="24"/>
                <w:szCs w:val="24"/>
                <w:shd w:val="clear" w:color="auto" w:fill="FFFFFF"/>
              </w:rPr>
              <w:t xml:space="preserve">емой (намечаемой) </w:t>
            </w:r>
            <w:r>
              <w:rPr>
                <w:rFonts w:ascii="Times New Roman" w:hAnsi="Times New Roman" w:cs="Times New Roman"/>
                <w:sz w:val="24"/>
                <w:szCs w:val="24"/>
                <w:shd w:val="clear" w:color="auto" w:fill="FFFFFF"/>
              </w:rPr>
              <w:lastRenderedPageBreak/>
              <w:t xml:space="preserve">деятельности. </w:t>
            </w:r>
            <w:r w:rsidRPr="00E70DBE">
              <w:rPr>
                <w:rFonts w:ascii="Times New Roman" w:hAnsi="Times New Roman" w:cs="Times New Roman"/>
                <w:sz w:val="24"/>
                <w:szCs w:val="24"/>
                <w:shd w:val="clear" w:color="auto" w:fill="FFFFFF"/>
              </w:rPr>
              <w:t>Объекты, подлежащие ГЭЭ федерального уровня, перечислены в ст.11 вышеуказанного Федерального закона.</w:t>
            </w:r>
          </w:p>
          <w:p w:rsidR="00FC4BB2" w:rsidRPr="00FC4BB2" w:rsidRDefault="00FC4BB2" w:rsidP="00FC4BB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Кроме того, </w:t>
            </w:r>
            <w:r w:rsidRPr="00FC4BB2">
              <w:rPr>
                <w:rFonts w:ascii="Times New Roman" w:hAnsi="Times New Roman" w:cs="Times New Roman"/>
                <w:sz w:val="24"/>
                <w:szCs w:val="24"/>
                <w:shd w:val="clear" w:color="auto" w:fill="FFFFFF"/>
              </w:rPr>
              <w:t xml:space="preserve">необходимо отметить, что положениями статьи 3 Федерального закона от 23.11.1995 № 174-ФЗ «Об экологической экспертизе» (далее – Закон № 174-ФЗ) закреплена обязанность проведения государственной экологической экспертизы до принятия решений о реализации объекта государственной экологической экспертизы. </w:t>
            </w:r>
          </w:p>
          <w:p w:rsidR="00FC4BB2" w:rsidRDefault="00FC4BB2" w:rsidP="00FC4BB2">
            <w:pPr>
              <w:jc w:val="both"/>
              <w:rPr>
                <w:rFonts w:ascii="Times New Roman" w:hAnsi="Times New Roman" w:cs="Times New Roman"/>
                <w:sz w:val="24"/>
                <w:szCs w:val="24"/>
                <w:shd w:val="clear" w:color="auto" w:fill="FFFFFF"/>
              </w:rPr>
            </w:pPr>
            <w:r w:rsidRPr="00FC4BB2">
              <w:rPr>
                <w:rFonts w:ascii="Times New Roman" w:hAnsi="Times New Roman" w:cs="Times New Roman"/>
                <w:sz w:val="24"/>
                <w:szCs w:val="24"/>
                <w:shd w:val="clear" w:color="auto" w:fill="FFFFFF"/>
              </w:rPr>
              <w:t>Вместе с тем, положения действующего законодательства не исключают возможности проведения государственной экологической экспертизы в дальнейшем. Например, пункт 8 статьи 11 Закона № 174-ФЗ предусматривает необходимость проведения повторного исследования при реализации объекта с отступлениями от документации, получившей положительное заключение государственной экологической экспертизы.</w:t>
            </w:r>
          </w:p>
          <w:p w:rsidR="00D20C00" w:rsidRPr="00FC4BB2" w:rsidRDefault="00D20C00" w:rsidP="00FC4BB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Таким образом, обязанность проведения экологической экспертизы документов до фактического осуществления намечаемой хозяйственной деятельности </w:t>
            </w:r>
            <w:r w:rsidR="00D15267">
              <w:rPr>
                <w:rFonts w:ascii="Times New Roman" w:hAnsi="Times New Roman" w:cs="Times New Roman"/>
                <w:sz w:val="24"/>
                <w:szCs w:val="24"/>
                <w:shd w:val="clear" w:color="auto" w:fill="FFFFFF"/>
              </w:rPr>
              <w:t>не исключает необходимости выполнения данных требований</w:t>
            </w:r>
            <w:r w:rsidR="00D761FF">
              <w:rPr>
                <w:rFonts w:ascii="Times New Roman" w:hAnsi="Times New Roman" w:cs="Times New Roman"/>
                <w:sz w:val="24"/>
                <w:szCs w:val="24"/>
                <w:shd w:val="clear" w:color="auto" w:fill="FFFFFF"/>
              </w:rPr>
              <w:t>, если реализация объекта экспертизы уже осуществляется.</w:t>
            </w:r>
          </w:p>
          <w:p w:rsidR="00FC4BB2" w:rsidRPr="00E70DBE" w:rsidRDefault="00FC4BB2" w:rsidP="00FC4BB2">
            <w:pPr>
              <w:jc w:val="both"/>
              <w:rPr>
                <w:rFonts w:ascii="Times New Roman" w:hAnsi="Times New Roman" w:cs="Times New Roman"/>
                <w:sz w:val="24"/>
                <w:szCs w:val="24"/>
                <w:shd w:val="clear" w:color="auto" w:fill="FFFFFF"/>
              </w:rPr>
            </w:pPr>
            <w:r w:rsidRPr="00B472BA">
              <w:rPr>
                <w:rFonts w:ascii="Times New Roman" w:hAnsi="Times New Roman" w:cs="Times New Roman"/>
                <w:sz w:val="24"/>
                <w:szCs w:val="24"/>
                <w:shd w:val="clear" w:color="auto" w:fill="FFFFFF"/>
              </w:rPr>
              <w:t>Аналог</w:t>
            </w:r>
            <w:bookmarkStart w:id="0" w:name="_GoBack"/>
            <w:bookmarkEnd w:id="0"/>
            <w:r w:rsidRPr="00B472BA">
              <w:rPr>
                <w:rFonts w:ascii="Times New Roman" w:hAnsi="Times New Roman" w:cs="Times New Roman"/>
                <w:sz w:val="24"/>
                <w:szCs w:val="24"/>
                <w:shd w:val="clear" w:color="auto" w:fill="FFFFFF"/>
              </w:rPr>
              <w:t>ичные выводы содержатся в определении Верховного Суда Российской Федерации от 07.11.2018 № 303-КГ18-17534, а также в письме Генеральной прокуратуры Российской Федерации от 23.08.2019 № 75/1-598-2019.</w:t>
            </w:r>
          </w:p>
        </w:tc>
      </w:tr>
      <w:tr w:rsidR="003E4954" w:rsidTr="00421520">
        <w:tc>
          <w:tcPr>
            <w:tcW w:w="709" w:type="dxa"/>
          </w:tcPr>
          <w:p w:rsidR="003E4954" w:rsidRDefault="002701DC" w:rsidP="00DD1164">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3</w:t>
            </w:r>
          </w:p>
        </w:tc>
        <w:tc>
          <w:tcPr>
            <w:tcW w:w="4962" w:type="dxa"/>
          </w:tcPr>
          <w:p w:rsidR="003E4954"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Пояснить ситуацию с постановкой на учет офисов как объектов НВОС, а также изменения категории объекта? В данный момент ставят на учет офис как объект 3 категории?</w:t>
            </w:r>
          </w:p>
        </w:tc>
        <w:tc>
          <w:tcPr>
            <w:tcW w:w="5386" w:type="dxa"/>
          </w:tcPr>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Согласно ст. 69.2 Федерального закона от 10.01.2002 № 7 «Об охране окружающей среды»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lastRenderedPageBreak/>
              <w:t>В соответствии со ст. 4.2 Закона № 7-ФЗ объекты НВОС в зависимости от уровня такого воздействия подразделяются на четыре категории:</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объекты, оказывающие умеренное негативное воздействие на окружающую среду, - объекты II категории;</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объекты, оказывающие незначительное негативное воздействие на окружающую среду, - объекты III категории;</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объекты, оказывающие минимальное негативное воздействие на окружающую среду, - объекты IV категории.</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Категория объекту, оказывающему негативное воздействия на окружающую среду, присваивается в соответствии с постановлением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Категория может быть изменена на этапе рассмотрения заявки.</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Согласно п. 6 ст. 69.2 Федерального закона от 10.01.2002 № 7 «Об охране окружающей среды» сведения об объектах НВОС подлежат актуализации в связи с представлением юридическими лицами и индивидуальными предпринимателями сведений:</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об изменении места нахождения объекта, оказывающего негативное воздействие на окружающую среду;</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об изменении характеристик технологических процессов основных производств, источников загрязнения окружающей среды;</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 xml:space="preserve">об изменении характеристик технических средств </w:t>
            </w:r>
            <w:r w:rsidRPr="002701DC">
              <w:rPr>
                <w:rFonts w:ascii="Times New Roman" w:hAnsi="Times New Roman" w:cs="Times New Roman"/>
                <w:sz w:val="24"/>
                <w:szCs w:val="24"/>
                <w:shd w:val="clear" w:color="auto" w:fill="FFFFFF"/>
              </w:rPr>
              <w:lastRenderedPageBreak/>
              <w:t>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Сведения, указанные в абзацах втором и третьем пункта 6 настоящей статьи, подтверждаются документами:</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об изменении места нахождения объекта, оказывающего негативное воздействие на окружающую среду.</w:t>
            </w:r>
          </w:p>
          <w:p w:rsidR="003E4954" w:rsidRPr="00C0263E" w:rsidRDefault="002701DC" w:rsidP="002701DC">
            <w:pPr>
              <w:jc w:val="both"/>
              <w:rPr>
                <w:rFonts w:ascii="Times New Roman" w:hAnsi="Times New Roman" w:cs="Times New Roman"/>
                <w:sz w:val="28"/>
                <w:szCs w:val="28"/>
                <w:shd w:val="clear" w:color="auto" w:fill="FFFFFF"/>
              </w:rPr>
            </w:pPr>
            <w:r w:rsidRPr="002701DC">
              <w:rPr>
                <w:rFonts w:ascii="Times New Roman" w:hAnsi="Times New Roman" w:cs="Times New Roman"/>
                <w:sz w:val="24"/>
                <w:szCs w:val="24"/>
                <w:shd w:val="clear" w:color="auto" w:fill="FFFFFF"/>
              </w:rPr>
              <w:t>Таким образом, актуализация сведений в связи с изменением категории объекта законодательством не предусмотрена.</w:t>
            </w:r>
          </w:p>
        </w:tc>
      </w:tr>
      <w:tr w:rsidR="003E4954" w:rsidTr="00421520">
        <w:tc>
          <w:tcPr>
            <w:tcW w:w="709" w:type="dxa"/>
          </w:tcPr>
          <w:p w:rsidR="003E4954" w:rsidRDefault="002701DC" w:rsidP="00DD1164">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4</w:t>
            </w:r>
          </w:p>
        </w:tc>
        <w:tc>
          <w:tcPr>
            <w:tcW w:w="4962" w:type="dxa"/>
          </w:tcPr>
          <w:p w:rsidR="003E4954" w:rsidRPr="002701DC" w:rsidRDefault="002701DC" w:rsidP="002701D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2701DC">
              <w:rPr>
                <w:rFonts w:ascii="Times New Roman" w:hAnsi="Times New Roman" w:cs="Times New Roman"/>
                <w:sz w:val="24"/>
                <w:szCs w:val="24"/>
                <w:shd w:val="clear" w:color="auto" w:fill="FFFFFF"/>
              </w:rPr>
              <w:t>рошу пояснить вопрос про чёрные-цветные металлы: в каком нормативно-правовом документе предусмотрено требование о необходимости лицу иметь сразу две лицензии как на лом, так и на отходы? Приём чёрных и цветных металлов осуществляется по правилам, утверждённым Правительством РФ, которые не предусматривают наличие лицензии на обращение с отходами</w:t>
            </w:r>
            <w:r>
              <w:rPr>
                <w:rFonts w:ascii="Times New Roman" w:hAnsi="Times New Roman" w:cs="Times New Roman"/>
                <w:sz w:val="24"/>
                <w:szCs w:val="24"/>
                <w:shd w:val="clear" w:color="auto" w:fill="FFFFFF"/>
              </w:rPr>
              <w:t>?</w:t>
            </w:r>
          </w:p>
        </w:tc>
        <w:tc>
          <w:tcPr>
            <w:tcW w:w="5386" w:type="dxa"/>
          </w:tcPr>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Правила обращения с ломом и отходами цветных металлов и их отчуждения, утвержденные Постановлением Правительства Российс</w:t>
            </w:r>
            <w:r>
              <w:rPr>
                <w:rFonts w:ascii="Times New Roman" w:hAnsi="Times New Roman" w:cs="Times New Roman"/>
                <w:sz w:val="24"/>
                <w:szCs w:val="24"/>
                <w:shd w:val="clear" w:color="auto" w:fill="FFFFFF"/>
              </w:rPr>
              <w:t>кой Федерации от 11 мая 2001 №</w:t>
            </w:r>
            <w:r w:rsidRPr="002701DC">
              <w:rPr>
                <w:rFonts w:ascii="Times New Roman" w:hAnsi="Times New Roman" w:cs="Times New Roman"/>
                <w:sz w:val="24"/>
                <w:szCs w:val="24"/>
                <w:shd w:val="clear" w:color="auto" w:fill="FFFFFF"/>
              </w:rPr>
              <w:t xml:space="preserve"> 370 и Правила обращения с ломом и отходами черных металлов и их отчуждения, утвержденные Постановлением Правительства Российской Федерации от 11 мая 2001 </w:t>
            </w:r>
            <w:r>
              <w:rPr>
                <w:rFonts w:ascii="Times New Roman" w:hAnsi="Times New Roman" w:cs="Times New Roman"/>
                <w:sz w:val="24"/>
                <w:szCs w:val="24"/>
                <w:shd w:val="clear" w:color="auto" w:fill="FFFFFF"/>
              </w:rPr>
              <w:t>№</w:t>
            </w:r>
            <w:r w:rsidRPr="002701DC">
              <w:rPr>
                <w:rFonts w:ascii="Times New Roman" w:hAnsi="Times New Roman" w:cs="Times New Roman"/>
                <w:sz w:val="24"/>
                <w:szCs w:val="24"/>
                <w:shd w:val="clear" w:color="auto" w:fill="FFFFFF"/>
              </w:rPr>
              <w:t xml:space="preserve"> 369, не обязывают хозяйствующие субъекты, осуществляющие деятельность по обращению с ломом и отходами чёрных и цветных металлов, получать одновременно два разрешительных документа (лицензии) – по заготовке, хранению, переработке и реализации лома черных металлов, цветных металлов (в соответствии с Постановлением Правительства РФ от 12.12.2012 </w:t>
            </w:r>
            <w:r>
              <w:rPr>
                <w:rFonts w:ascii="Times New Roman" w:hAnsi="Times New Roman" w:cs="Times New Roman"/>
                <w:sz w:val="24"/>
                <w:szCs w:val="24"/>
                <w:shd w:val="clear" w:color="auto" w:fill="FFFFFF"/>
              </w:rPr>
              <w:t>№</w:t>
            </w:r>
            <w:r w:rsidRPr="002701DC">
              <w:rPr>
                <w:rFonts w:ascii="Times New Roman" w:hAnsi="Times New Roman" w:cs="Times New Roman"/>
                <w:sz w:val="24"/>
                <w:szCs w:val="24"/>
                <w:shd w:val="clear" w:color="auto" w:fill="FFFFFF"/>
              </w:rPr>
              <w:t xml:space="preserve"> 1287) и по сбору, транспортированию, обработке, утилизации, обезвреживанию, размещению отходов I-IV классов (в соответствии с Постановлением Правительства РФ от 26 декабря 2020 № 2290).</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Вм</w:t>
            </w:r>
            <w:r>
              <w:rPr>
                <w:rFonts w:ascii="Times New Roman" w:hAnsi="Times New Roman" w:cs="Times New Roman"/>
                <w:sz w:val="24"/>
                <w:szCs w:val="24"/>
                <w:shd w:val="clear" w:color="auto" w:fill="FFFFFF"/>
              </w:rPr>
              <w:t>есте с тем, поясняем следующее.</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 xml:space="preserve">В соответствии со статьей 9 Федерального закона от 24 июня 1998 </w:t>
            </w:r>
            <w:r>
              <w:rPr>
                <w:rFonts w:ascii="Times New Roman" w:hAnsi="Times New Roman" w:cs="Times New Roman"/>
                <w:sz w:val="24"/>
                <w:szCs w:val="24"/>
                <w:shd w:val="clear" w:color="auto" w:fill="FFFFFF"/>
              </w:rPr>
              <w:t>№</w:t>
            </w:r>
            <w:r w:rsidRPr="002701DC">
              <w:rPr>
                <w:rFonts w:ascii="Times New Roman" w:hAnsi="Times New Roman" w:cs="Times New Roman"/>
                <w:sz w:val="24"/>
                <w:szCs w:val="24"/>
                <w:shd w:val="clear" w:color="auto" w:fill="FFFFFF"/>
              </w:rPr>
              <w:t xml:space="preserve"> 89-ФЗ "Об отходах производства и потребления" (далее - Закон </w:t>
            </w:r>
            <w:r>
              <w:rPr>
                <w:rFonts w:ascii="Times New Roman" w:hAnsi="Times New Roman" w:cs="Times New Roman"/>
                <w:sz w:val="24"/>
                <w:szCs w:val="24"/>
                <w:shd w:val="clear" w:color="auto" w:fill="FFFFFF"/>
              </w:rPr>
              <w:br/>
              <w:t>№</w:t>
            </w:r>
            <w:r w:rsidRPr="002701DC">
              <w:rPr>
                <w:rFonts w:ascii="Times New Roman" w:hAnsi="Times New Roman" w:cs="Times New Roman"/>
                <w:sz w:val="24"/>
                <w:szCs w:val="24"/>
                <w:shd w:val="clear" w:color="auto" w:fill="FFFFFF"/>
              </w:rPr>
              <w:t xml:space="preserve"> 89-ФЗ) лицензирование деятельности по сбору, транспортированию, обработке, утилизации, обезвреживанию, размещению отходов I-IV классов опасности осуществляется в соответствии с требованиями Федерального закона от 4 мая 2011 </w:t>
            </w:r>
            <w:r>
              <w:rPr>
                <w:rFonts w:ascii="Times New Roman" w:hAnsi="Times New Roman" w:cs="Times New Roman"/>
                <w:sz w:val="24"/>
                <w:szCs w:val="24"/>
                <w:shd w:val="clear" w:color="auto" w:fill="FFFFFF"/>
              </w:rPr>
              <w:t>№</w:t>
            </w:r>
            <w:r w:rsidRPr="002701DC">
              <w:rPr>
                <w:rFonts w:ascii="Times New Roman" w:hAnsi="Times New Roman" w:cs="Times New Roman"/>
                <w:sz w:val="24"/>
                <w:szCs w:val="24"/>
                <w:shd w:val="clear" w:color="auto" w:fill="FFFFFF"/>
              </w:rPr>
              <w:t xml:space="preserve"> 99-ФЗ "О лицензировании отдельных видов деятельности" (далее </w:t>
            </w:r>
            <w:r>
              <w:rPr>
                <w:rFonts w:ascii="Times New Roman" w:hAnsi="Times New Roman" w:cs="Times New Roman"/>
                <w:sz w:val="24"/>
                <w:szCs w:val="24"/>
                <w:shd w:val="clear" w:color="auto" w:fill="FFFFFF"/>
              </w:rPr>
              <w:t>–</w:t>
            </w:r>
            <w:r w:rsidRPr="002701DC">
              <w:rPr>
                <w:rFonts w:ascii="Times New Roman" w:hAnsi="Times New Roman" w:cs="Times New Roman"/>
                <w:sz w:val="24"/>
                <w:szCs w:val="24"/>
                <w:shd w:val="clear" w:color="auto" w:fill="FFFFFF"/>
              </w:rPr>
              <w:t xml:space="preserve"> Закон</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lastRenderedPageBreak/>
              <w:t xml:space="preserve">№ </w:t>
            </w:r>
            <w:r w:rsidRPr="002701DC">
              <w:rPr>
                <w:rFonts w:ascii="Times New Roman" w:hAnsi="Times New Roman" w:cs="Times New Roman"/>
                <w:sz w:val="24"/>
                <w:szCs w:val="24"/>
                <w:shd w:val="clear" w:color="auto" w:fill="FFFFFF"/>
              </w:rPr>
              <w:t xml:space="preserve">99-ФЗ) с учетом положений Закона </w:t>
            </w:r>
            <w:r>
              <w:rPr>
                <w:rFonts w:ascii="Times New Roman" w:hAnsi="Times New Roman" w:cs="Times New Roman"/>
                <w:sz w:val="24"/>
                <w:szCs w:val="24"/>
                <w:shd w:val="clear" w:color="auto" w:fill="FFFFFF"/>
              </w:rPr>
              <w:t>№ 89-ФЗ.</w:t>
            </w:r>
          </w:p>
          <w:p w:rsidR="002701DC" w:rsidRPr="002701DC" w:rsidRDefault="002701DC" w:rsidP="002701D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2701DC">
              <w:rPr>
                <w:rFonts w:ascii="Times New Roman" w:hAnsi="Times New Roman" w:cs="Times New Roman"/>
                <w:sz w:val="24"/>
                <w:szCs w:val="24"/>
                <w:shd w:val="clear" w:color="auto" w:fill="FFFFFF"/>
              </w:rPr>
              <w:t xml:space="preserve">а основании подпункта 30 пункта 1 статьи 12 Закона </w:t>
            </w:r>
            <w:r>
              <w:rPr>
                <w:rFonts w:ascii="Times New Roman" w:hAnsi="Times New Roman" w:cs="Times New Roman"/>
                <w:sz w:val="24"/>
                <w:szCs w:val="24"/>
                <w:shd w:val="clear" w:color="auto" w:fill="FFFFFF"/>
              </w:rPr>
              <w:t>№</w:t>
            </w:r>
            <w:r w:rsidRPr="002701DC">
              <w:rPr>
                <w:rFonts w:ascii="Times New Roman" w:hAnsi="Times New Roman" w:cs="Times New Roman"/>
                <w:sz w:val="24"/>
                <w:szCs w:val="24"/>
                <w:shd w:val="clear" w:color="auto" w:fill="FFFFFF"/>
              </w:rPr>
              <w:t xml:space="preserve"> 99-ФЗ деятельность по сбору, транспортированию, обработке, утилизации, обезвреживанию, размещению отходов I-IV классов опасности</w:t>
            </w:r>
            <w:r>
              <w:rPr>
                <w:rFonts w:ascii="Times New Roman" w:hAnsi="Times New Roman" w:cs="Times New Roman"/>
                <w:sz w:val="24"/>
                <w:szCs w:val="24"/>
                <w:shd w:val="clear" w:color="auto" w:fill="FFFFFF"/>
              </w:rPr>
              <w:t xml:space="preserve"> также подлежит лицензированию.</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 xml:space="preserve">Статьей 1 Закона </w:t>
            </w:r>
            <w:r>
              <w:rPr>
                <w:rFonts w:ascii="Times New Roman" w:hAnsi="Times New Roman" w:cs="Times New Roman"/>
                <w:sz w:val="24"/>
                <w:szCs w:val="24"/>
                <w:shd w:val="clear" w:color="auto" w:fill="FFFFFF"/>
              </w:rPr>
              <w:t>№</w:t>
            </w:r>
            <w:r w:rsidRPr="002701DC">
              <w:rPr>
                <w:rFonts w:ascii="Times New Roman" w:hAnsi="Times New Roman" w:cs="Times New Roman"/>
                <w:sz w:val="24"/>
                <w:szCs w:val="24"/>
                <w:shd w:val="clear" w:color="auto" w:fill="FFFFFF"/>
              </w:rPr>
              <w:t xml:space="preserve"> 89-ФЗ, определено понятие лома и отходов цветных и (или) черных металлов, согласно которому - это пришедшие в негодность или утратившие свои потребительские свойства изделия из цветных и (или) черных металлов и их сплавов, а также неисправимый брак, возникший в процессе производства указанных изделий. Таким образом, лом цветных и (или) чё</w:t>
            </w:r>
            <w:r>
              <w:rPr>
                <w:rFonts w:ascii="Times New Roman" w:hAnsi="Times New Roman" w:cs="Times New Roman"/>
                <w:sz w:val="24"/>
                <w:szCs w:val="24"/>
                <w:shd w:val="clear" w:color="auto" w:fill="FFFFFF"/>
              </w:rPr>
              <w:t>рных металлов является отходом.</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 xml:space="preserve">Кроме того, требования к обращению с ломом и отходами цветных и (или) черных металлов и их отчуждению установлены статьей 13.1 закона </w:t>
            </w:r>
            <w:r>
              <w:rPr>
                <w:rFonts w:ascii="Times New Roman" w:hAnsi="Times New Roman" w:cs="Times New Roman"/>
                <w:sz w:val="24"/>
                <w:szCs w:val="24"/>
                <w:shd w:val="clear" w:color="auto" w:fill="FFFFFF"/>
              </w:rPr>
              <w:br/>
              <w:t>№</w:t>
            </w:r>
            <w:r w:rsidRPr="002701DC">
              <w:rPr>
                <w:rFonts w:ascii="Times New Roman" w:hAnsi="Times New Roman" w:cs="Times New Roman"/>
                <w:sz w:val="24"/>
                <w:szCs w:val="24"/>
                <w:shd w:val="clear" w:color="auto" w:fill="FFFFFF"/>
              </w:rPr>
              <w:t xml:space="preserve"> 89-ФЗ и регулируются Правилами обращения с ломом и отходами цветных металлов и их отчуждения, утвержденными Постановлением Правительства Российской Федерации от 11 мая 2001 </w:t>
            </w:r>
            <w:r>
              <w:rPr>
                <w:rFonts w:ascii="Times New Roman" w:hAnsi="Times New Roman" w:cs="Times New Roman"/>
                <w:sz w:val="24"/>
                <w:szCs w:val="24"/>
                <w:shd w:val="clear" w:color="auto" w:fill="FFFFFF"/>
              </w:rPr>
              <w:t>№</w:t>
            </w:r>
            <w:r w:rsidRPr="002701DC">
              <w:rPr>
                <w:rFonts w:ascii="Times New Roman" w:hAnsi="Times New Roman" w:cs="Times New Roman"/>
                <w:sz w:val="24"/>
                <w:szCs w:val="24"/>
                <w:shd w:val="clear" w:color="auto" w:fill="FFFFFF"/>
              </w:rPr>
              <w:t xml:space="preserve"> 370, а также Правилами обращения с ломом и отходами черных металлов и их отчуждения, утвержденными Постановлением Правительства Российской Федерации от 11 мая 2001 </w:t>
            </w:r>
            <w:r>
              <w:rPr>
                <w:rFonts w:ascii="Times New Roman" w:hAnsi="Times New Roman" w:cs="Times New Roman"/>
                <w:sz w:val="24"/>
                <w:szCs w:val="24"/>
                <w:shd w:val="clear" w:color="auto" w:fill="FFFFFF"/>
              </w:rPr>
              <w:t>№ 369.</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 xml:space="preserve">В соответствии с положениями закона </w:t>
            </w:r>
            <w:r>
              <w:rPr>
                <w:rFonts w:ascii="Times New Roman" w:hAnsi="Times New Roman" w:cs="Times New Roman"/>
                <w:sz w:val="24"/>
                <w:szCs w:val="24"/>
                <w:shd w:val="clear" w:color="auto" w:fill="FFFFFF"/>
              </w:rPr>
              <w:t>№</w:t>
            </w:r>
            <w:r w:rsidRPr="002701DC">
              <w:rPr>
                <w:rFonts w:ascii="Times New Roman" w:hAnsi="Times New Roman" w:cs="Times New Roman"/>
                <w:sz w:val="24"/>
                <w:szCs w:val="24"/>
                <w:shd w:val="clear" w:color="auto" w:fill="FFFFFF"/>
              </w:rPr>
              <w:t xml:space="preserve"> 99-ФЗ - заготовка, хранение, переработка и реализация лома черных металлов, цветных металлов является отдельным лицензируемым видом деятельности. Но вместе с тем, лицензированию также подлежит деятельность по сбору, транспортированию, обработке, утилизации, обезвреживанию, размещению </w:t>
            </w:r>
            <w:r>
              <w:rPr>
                <w:rFonts w:ascii="Times New Roman" w:hAnsi="Times New Roman" w:cs="Times New Roman"/>
                <w:sz w:val="24"/>
                <w:szCs w:val="24"/>
                <w:shd w:val="clear" w:color="auto" w:fill="FFFFFF"/>
              </w:rPr>
              <w:t>отходов I-IV классов опасности.</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 xml:space="preserve">Группа отходов "лом и отходы черных и цветных металлов" включена в Федеральный классификационный каталог отходов, утвержденный Приказом Росприроднадзора от 22 мая 2017 </w:t>
            </w:r>
            <w:r>
              <w:rPr>
                <w:rFonts w:ascii="Times New Roman" w:hAnsi="Times New Roman" w:cs="Times New Roman"/>
                <w:sz w:val="24"/>
                <w:szCs w:val="24"/>
                <w:shd w:val="clear" w:color="auto" w:fill="FFFFFF"/>
              </w:rPr>
              <w:t>№</w:t>
            </w:r>
            <w:r w:rsidRPr="002701DC">
              <w:rPr>
                <w:rFonts w:ascii="Times New Roman" w:hAnsi="Times New Roman" w:cs="Times New Roman"/>
                <w:sz w:val="24"/>
                <w:szCs w:val="24"/>
                <w:shd w:val="clear" w:color="auto" w:fill="FFFFFF"/>
              </w:rPr>
              <w:t xml:space="preserve"> 242 и виды отходов, входящие в состав указанной группы, имеют различные классы опаснос</w:t>
            </w:r>
            <w:r>
              <w:rPr>
                <w:rFonts w:ascii="Times New Roman" w:hAnsi="Times New Roman" w:cs="Times New Roman"/>
                <w:sz w:val="24"/>
                <w:szCs w:val="24"/>
                <w:shd w:val="clear" w:color="auto" w:fill="FFFFFF"/>
              </w:rPr>
              <w:t>ти от II класса опасности до V.</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 xml:space="preserve">В случае, если природопользователь классифицирует «лом и отходы черных и цветных металлов», как отход производства, то деятельность с данными отходами подлежит регулированию Законом </w:t>
            </w:r>
            <w:r>
              <w:rPr>
                <w:rFonts w:ascii="Times New Roman" w:hAnsi="Times New Roman" w:cs="Times New Roman"/>
                <w:sz w:val="24"/>
                <w:szCs w:val="24"/>
                <w:shd w:val="clear" w:color="auto" w:fill="FFFFFF"/>
              </w:rPr>
              <w:t>№ 89-ФЗ.</w:t>
            </w:r>
          </w:p>
          <w:p w:rsidR="002701DC" w:rsidRPr="002701DC" w:rsidRDefault="002701DC" w:rsidP="002701DC">
            <w:pPr>
              <w:jc w:val="both"/>
              <w:rPr>
                <w:rFonts w:ascii="Times New Roman" w:hAnsi="Times New Roman" w:cs="Times New Roman"/>
                <w:sz w:val="24"/>
                <w:szCs w:val="24"/>
                <w:shd w:val="clear" w:color="auto" w:fill="FFFFFF"/>
              </w:rPr>
            </w:pPr>
            <w:r w:rsidRPr="002701DC">
              <w:rPr>
                <w:rFonts w:ascii="Times New Roman" w:hAnsi="Times New Roman" w:cs="Times New Roman"/>
                <w:sz w:val="24"/>
                <w:szCs w:val="24"/>
                <w:shd w:val="clear" w:color="auto" w:fill="FFFFFF"/>
              </w:rPr>
              <w:t xml:space="preserve">Таким образом, наличие лицензии на деятельность по заготовке, хранению, переработки и реализации лома черных и </w:t>
            </w:r>
            <w:r w:rsidRPr="002701DC">
              <w:rPr>
                <w:rFonts w:ascii="Times New Roman" w:hAnsi="Times New Roman" w:cs="Times New Roman"/>
                <w:sz w:val="24"/>
                <w:szCs w:val="24"/>
                <w:shd w:val="clear" w:color="auto" w:fill="FFFFFF"/>
              </w:rPr>
              <w:lastRenderedPageBreak/>
              <w:t xml:space="preserve">цветных металлов не отменяет и не заменяет лицензию на осуществление деятельности по сбору, транспортированию, обработке, утилизации, обезвреживанию, размещению отходов I-IV классов опасности, если соответствующие отходы относятся к </w:t>
            </w:r>
            <w:r>
              <w:rPr>
                <w:rFonts w:ascii="Times New Roman" w:hAnsi="Times New Roman" w:cs="Times New Roman"/>
                <w:sz w:val="24"/>
                <w:szCs w:val="24"/>
                <w:shd w:val="clear" w:color="auto" w:fill="FFFFFF"/>
              </w:rPr>
              <w:t>отходам I-IV классов опасности.</w:t>
            </w:r>
          </w:p>
          <w:p w:rsidR="003E4954" w:rsidRPr="00C0263E" w:rsidRDefault="002701DC" w:rsidP="002701DC">
            <w:pPr>
              <w:jc w:val="both"/>
              <w:rPr>
                <w:rFonts w:ascii="Times New Roman" w:hAnsi="Times New Roman" w:cs="Times New Roman"/>
                <w:sz w:val="28"/>
                <w:szCs w:val="28"/>
                <w:shd w:val="clear" w:color="auto" w:fill="FFFFFF"/>
              </w:rPr>
            </w:pPr>
            <w:r w:rsidRPr="002701DC">
              <w:rPr>
                <w:rFonts w:ascii="Times New Roman" w:hAnsi="Times New Roman" w:cs="Times New Roman"/>
                <w:sz w:val="24"/>
                <w:szCs w:val="24"/>
                <w:shd w:val="clear" w:color="auto" w:fill="FFFFFF"/>
              </w:rPr>
              <w:t>Недопустимо осуществление работ по сбору, транспортированию, обработке, утилизации, обезвреживанию, размещению отходов I-IV классов опасности, в том числе, с отходами лома черных и цветных металлов, относящихся к отходам I-IV классов опасности без специального разрешения (лицензии) на деятельность по сбору, транспортированию, обработке, утилизации, обезвреживанию, размещению отходов I-IV классов опасности, предусмотренного ст. 9 Федерального закона от 24.06.1998 №</w:t>
            </w:r>
            <w:r>
              <w:rPr>
                <w:rFonts w:ascii="Times New Roman" w:hAnsi="Times New Roman" w:cs="Times New Roman"/>
                <w:sz w:val="24"/>
                <w:szCs w:val="24"/>
                <w:shd w:val="clear" w:color="auto" w:fill="FFFFFF"/>
              </w:rPr>
              <w:t xml:space="preserve"> </w:t>
            </w:r>
            <w:r w:rsidRPr="002701DC">
              <w:rPr>
                <w:rFonts w:ascii="Times New Roman" w:hAnsi="Times New Roman" w:cs="Times New Roman"/>
                <w:sz w:val="24"/>
                <w:szCs w:val="24"/>
                <w:shd w:val="clear" w:color="auto" w:fill="FFFFFF"/>
              </w:rPr>
              <w:t>89-ФЗ «Об отходах производства и потребления», п. 30 ч. 1 ст. 12 Феде</w:t>
            </w:r>
            <w:r>
              <w:rPr>
                <w:rFonts w:ascii="Times New Roman" w:hAnsi="Times New Roman" w:cs="Times New Roman"/>
                <w:sz w:val="24"/>
                <w:szCs w:val="24"/>
                <w:shd w:val="clear" w:color="auto" w:fill="FFFFFF"/>
              </w:rPr>
              <w:t xml:space="preserve">рального закона от 04.05.2021 </w:t>
            </w:r>
            <w:r>
              <w:rPr>
                <w:rFonts w:ascii="Times New Roman" w:hAnsi="Times New Roman" w:cs="Times New Roman"/>
                <w:sz w:val="24"/>
                <w:szCs w:val="24"/>
                <w:shd w:val="clear" w:color="auto" w:fill="FFFFFF"/>
              </w:rPr>
              <w:br/>
            </w:r>
            <w:r w:rsidRPr="002701DC">
              <w:rPr>
                <w:rFonts w:ascii="Times New Roman" w:hAnsi="Times New Roman" w:cs="Times New Roman"/>
                <w:sz w:val="24"/>
                <w:szCs w:val="24"/>
                <w:shd w:val="clear" w:color="auto" w:fill="FFFFFF"/>
              </w:rPr>
              <w:t>№99-ФЗ.</w:t>
            </w:r>
          </w:p>
        </w:tc>
      </w:tr>
      <w:tr w:rsidR="003E4954" w:rsidTr="00421520">
        <w:tc>
          <w:tcPr>
            <w:tcW w:w="709" w:type="dxa"/>
          </w:tcPr>
          <w:p w:rsidR="003E4954" w:rsidRDefault="00EB0A09" w:rsidP="00DD1164">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6</w:t>
            </w:r>
          </w:p>
        </w:tc>
        <w:tc>
          <w:tcPr>
            <w:tcW w:w="4962" w:type="dxa"/>
          </w:tcPr>
          <w:p w:rsidR="003E4954" w:rsidRPr="00EB0A09" w:rsidRDefault="00EB0A09" w:rsidP="00EB0A09">
            <w:pPr>
              <w:jc w:val="both"/>
              <w:rPr>
                <w:rFonts w:ascii="Times New Roman" w:hAnsi="Times New Roman" w:cs="Times New Roman"/>
                <w:sz w:val="24"/>
                <w:szCs w:val="24"/>
                <w:shd w:val="clear" w:color="auto" w:fill="FFFFFF"/>
              </w:rPr>
            </w:pPr>
            <w:r w:rsidRPr="00EB0A09">
              <w:rPr>
                <w:rFonts w:ascii="Times New Roman" w:hAnsi="Times New Roman" w:cs="Times New Roman"/>
                <w:sz w:val="24"/>
                <w:szCs w:val="24"/>
                <w:shd w:val="clear" w:color="auto" w:fill="FFFFFF"/>
              </w:rPr>
              <w:t>Освещена и</w:t>
            </w:r>
            <w:r>
              <w:rPr>
                <w:rFonts w:ascii="Times New Roman" w:hAnsi="Times New Roman" w:cs="Times New Roman"/>
                <w:sz w:val="24"/>
                <w:szCs w:val="24"/>
                <w:shd w:val="clear" w:color="auto" w:fill="FFFFFF"/>
              </w:rPr>
              <w:t xml:space="preserve">нформация о применении </w:t>
            </w:r>
            <w:r>
              <w:rPr>
                <w:rFonts w:ascii="Times New Roman" w:hAnsi="Times New Roman" w:cs="Times New Roman"/>
                <w:sz w:val="24"/>
                <w:szCs w:val="24"/>
                <w:shd w:val="clear" w:color="auto" w:fill="FFFFFF"/>
              </w:rPr>
              <w:br/>
              <w:t>ст. 7.20</w:t>
            </w:r>
            <w:r w:rsidRPr="00EB0A09">
              <w:rPr>
                <w:rFonts w:ascii="Times New Roman" w:hAnsi="Times New Roman" w:cs="Times New Roman"/>
                <w:sz w:val="24"/>
                <w:szCs w:val="24"/>
                <w:shd w:val="clear" w:color="auto" w:fill="FFFFFF"/>
              </w:rPr>
              <w:t xml:space="preserve"> КоАП РФ в отношении несанкционированного подключения к сетям водоотведен</w:t>
            </w:r>
            <w:r>
              <w:rPr>
                <w:rFonts w:ascii="Times New Roman" w:hAnsi="Times New Roman" w:cs="Times New Roman"/>
                <w:sz w:val="24"/>
                <w:szCs w:val="24"/>
                <w:shd w:val="clear" w:color="auto" w:fill="FFFFFF"/>
              </w:rPr>
              <w:t>ия, а разве применение ст. 7.20 КоАП РФ</w:t>
            </w:r>
            <w:r w:rsidRPr="00EB0A09">
              <w:rPr>
                <w:rFonts w:ascii="Times New Roman" w:hAnsi="Times New Roman" w:cs="Times New Roman"/>
                <w:sz w:val="24"/>
                <w:szCs w:val="24"/>
                <w:shd w:val="clear" w:color="auto" w:fill="FFFFFF"/>
              </w:rPr>
              <w:t xml:space="preserve"> в отношении сетей водоснабжения не входит в полномочия Росприроднадзора</w:t>
            </w:r>
            <w:r>
              <w:rPr>
                <w:rFonts w:ascii="Times New Roman" w:hAnsi="Times New Roman" w:cs="Times New Roman"/>
                <w:sz w:val="24"/>
                <w:szCs w:val="24"/>
                <w:shd w:val="clear" w:color="auto" w:fill="FFFFFF"/>
              </w:rPr>
              <w:t>?</w:t>
            </w:r>
          </w:p>
        </w:tc>
        <w:tc>
          <w:tcPr>
            <w:tcW w:w="5386" w:type="dxa"/>
          </w:tcPr>
          <w:p w:rsidR="00EB0A09" w:rsidRPr="00EB0A09" w:rsidRDefault="00EB0A09" w:rsidP="00EB0A09">
            <w:pPr>
              <w:jc w:val="both"/>
              <w:rPr>
                <w:rFonts w:ascii="Times New Roman" w:hAnsi="Times New Roman" w:cs="Times New Roman"/>
                <w:sz w:val="24"/>
                <w:szCs w:val="24"/>
                <w:shd w:val="clear" w:color="auto" w:fill="FFFFFF"/>
              </w:rPr>
            </w:pPr>
            <w:r w:rsidRPr="00EB0A09">
              <w:rPr>
                <w:rFonts w:ascii="Times New Roman" w:hAnsi="Times New Roman" w:cs="Times New Roman"/>
                <w:sz w:val="24"/>
                <w:szCs w:val="24"/>
                <w:shd w:val="clear" w:color="auto" w:fill="FFFFFF"/>
              </w:rPr>
              <w:t>В соот</w:t>
            </w:r>
            <w:r>
              <w:rPr>
                <w:rFonts w:ascii="Times New Roman" w:hAnsi="Times New Roman" w:cs="Times New Roman"/>
                <w:sz w:val="24"/>
                <w:szCs w:val="24"/>
                <w:shd w:val="clear" w:color="auto" w:fill="FFFFFF"/>
              </w:rPr>
              <w:t>ветствии с положениями ст. 28.3</w:t>
            </w:r>
            <w:r w:rsidRPr="00EB0A09">
              <w:rPr>
                <w:rFonts w:ascii="Times New Roman" w:hAnsi="Times New Roman" w:cs="Times New Roman"/>
                <w:sz w:val="24"/>
                <w:szCs w:val="24"/>
                <w:shd w:val="clear" w:color="auto" w:fill="FFFFFF"/>
              </w:rPr>
              <w:t xml:space="preserve"> КоАП РФ к полномочиям органов, осуществляющих государственный надзор в области использования и охраны водных объектов, а также должностных лиц органов внутренних дел (полиции) входит составление протоколов и рассмотрение дел об административных правонарушениях, ответственность за которые предусмотрена статьей 7.20. Кодекса «Самовольное подключение к централизованным системам водоснабжения и водоотведения».  </w:t>
            </w:r>
          </w:p>
          <w:p w:rsidR="003E4954" w:rsidRPr="00C0263E" w:rsidRDefault="003E4954" w:rsidP="00EB0A09">
            <w:pPr>
              <w:jc w:val="center"/>
              <w:rPr>
                <w:rFonts w:ascii="Times New Roman" w:hAnsi="Times New Roman" w:cs="Times New Roman"/>
                <w:sz w:val="28"/>
                <w:szCs w:val="28"/>
                <w:shd w:val="clear" w:color="auto" w:fill="FFFFFF"/>
              </w:rPr>
            </w:pPr>
          </w:p>
        </w:tc>
      </w:tr>
    </w:tbl>
    <w:p w:rsidR="00E4538D" w:rsidRPr="00421520" w:rsidRDefault="00E4538D" w:rsidP="00421520">
      <w:pPr>
        <w:spacing w:after="0" w:line="240" w:lineRule="auto"/>
        <w:jc w:val="both"/>
        <w:rPr>
          <w:rFonts w:ascii="Times New Roman" w:hAnsi="Times New Roman" w:cs="Times New Roman"/>
          <w:color w:val="FF0000"/>
          <w:sz w:val="28"/>
          <w:szCs w:val="28"/>
          <w:shd w:val="clear" w:color="auto" w:fill="FFFFFF"/>
        </w:rPr>
      </w:pPr>
    </w:p>
    <w:sectPr w:rsidR="00E4538D" w:rsidRPr="00421520" w:rsidSect="001C2E27">
      <w:footerReference w:type="default" r:id="rId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F7" w:rsidRDefault="008B77F7" w:rsidP="001C2E27">
      <w:pPr>
        <w:spacing w:after="0" w:line="240" w:lineRule="auto"/>
      </w:pPr>
      <w:r>
        <w:separator/>
      </w:r>
    </w:p>
  </w:endnote>
  <w:endnote w:type="continuationSeparator" w:id="0">
    <w:p w:rsidR="008B77F7" w:rsidRDefault="008B77F7" w:rsidP="001C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059786"/>
      <w:docPartObj>
        <w:docPartGallery w:val="Page Numbers (Bottom of Page)"/>
        <w:docPartUnique/>
      </w:docPartObj>
    </w:sdtPr>
    <w:sdtEndPr/>
    <w:sdtContent>
      <w:p w:rsidR="001C2E27" w:rsidRDefault="001C2E27">
        <w:pPr>
          <w:pStyle w:val="a7"/>
          <w:jc w:val="right"/>
        </w:pPr>
        <w:r>
          <w:fldChar w:fldCharType="begin"/>
        </w:r>
        <w:r>
          <w:instrText>PAGE   \* MERGEFORMAT</w:instrText>
        </w:r>
        <w:r>
          <w:fldChar w:fldCharType="separate"/>
        </w:r>
        <w:r w:rsidR="00B472BA">
          <w:rPr>
            <w:noProof/>
          </w:rPr>
          <w:t>2</w:t>
        </w:r>
        <w:r>
          <w:fldChar w:fldCharType="end"/>
        </w:r>
      </w:p>
    </w:sdtContent>
  </w:sdt>
  <w:p w:rsidR="001C2E27" w:rsidRDefault="001C2E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F7" w:rsidRDefault="008B77F7" w:rsidP="001C2E27">
      <w:pPr>
        <w:spacing w:after="0" w:line="240" w:lineRule="auto"/>
      </w:pPr>
      <w:r>
        <w:separator/>
      </w:r>
    </w:p>
  </w:footnote>
  <w:footnote w:type="continuationSeparator" w:id="0">
    <w:p w:rsidR="008B77F7" w:rsidRDefault="008B77F7" w:rsidP="001C2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E4FBC"/>
    <w:multiLevelType w:val="multilevel"/>
    <w:tmpl w:val="64EE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29"/>
    <w:rsid w:val="00027613"/>
    <w:rsid w:val="00046060"/>
    <w:rsid w:val="00070655"/>
    <w:rsid w:val="00092539"/>
    <w:rsid w:val="000B483B"/>
    <w:rsid w:val="0010157F"/>
    <w:rsid w:val="0013076F"/>
    <w:rsid w:val="00135977"/>
    <w:rsid w:val="0015015E"/>
    <w:rsid w:val="00160E60"/>
    <w:rsid w:val="00172AE0"/>
    <w:rsid w:val="001A3938"/>
    <w:rsid w:val="001C035E"/>
    <w:rsid w:val="001C2E27"/>
    <w:rsid w:val="001E13C0"/>
    <w:rsid w:val="001F3939"/>
    <w:rsid w:val="001F41D1"/>
    <w:rsid w:val="002701DC"/>
    <w:rsid w:val="0027584B"/>
    <w:rsid w:val="002A634B"/>
    <w:rsid w:val="002C6E63"/>
    <w:rsid w:val="002E22F8"/>
    <w:rsid w:val="00344627"/>
    <w:rsid w:val="00355C1F"/>
    <w:rsid w:val="003D1589"/>
    <w:rsid w:val="003E3513"/>
    <w:rsid w:val="003E4954"/>
    <w:rsid w:val="003F3442"/>
    <w:rsid w:val="00421520"/>
    <w:rsid w:val="00423CEB"/>
    <w:rsid w:val="00427EE3"/>
    <w:rsid w:val="004525E9"/>
    <w:rsid w:val="00457369"/>
    <w:rsid w:val="00461A3C"/>
    <w:rsid w:val="004C75DB"/>
    <w:rsid w:val="004E0F95"/>
    <w:rsid w:val="004E743B"/>
    <w:rsid w:val="005A548F"/>
    <w:rsid w:val="006017BA"/>
    <w:rsid w:val="006413DD"/>
    <w:rsid w:val="006A5BE4"/>
    <w:rsid w:val="007038BE"/>
    <w:rsid w:val="00716CAB"/>
    <w:rsid w:val="0074264B"/>
    <w:rsid w:val="0074341A"/>
    <w:rsid w:val="007919CE"/>
    <w:rsid w:val="00796F6F"/>
    <w:rsid w:val="00820AA9"/>
    <w:rsid w:val="00852DC2"/>
    <w:rsid w:val="00853C29"/>
    <w:rsid w:val="00862A9F"/>
    <w:rsid w:val="008727B1"/>
    <w:rsid w:val="008A408B"/>
    <w:rsid w:val="008B3B7D"/>
    <w:rsid w:val="008B77F7"/>
    <w:rsid w:val="0090275D"/>
    <w:rsid w:val="00904110"/>
    <w:rsid w:val="00A25446"/>
    <w:rsid w:val="00A309D3"/>
    <w:rsid w:val="00A42D0B"/>
    <w:rsid w:val="00A67137"/>
    <w:rsid w:val="00AC61F0"/>
    <w:rsid w:val="00AE5F3F"/>
    <w:rsid w:val="00B00A25"/>
    <w:rsid w:val="00B32B7E"/>
    <w:rsid w:val="00B3324B"/>
    <w:rsid w:val="00B419D2"/>
    <w:rsid w:val="00B44B92"/>
    <w:rsid w:val="00B472BA"/>
    <w:rsid w:val="00B91B90"/>
    <w:rsid w:val="00BA6351"/>
    <w:rsid w:val="00BB0E2D"/>
    <w:rsid w:val="00C0263E"/>
    <w:rsid w:val="00C77628"/>
    <w:rsid w:val="00D02DA0"/>
    <w:rsid w:val="00D15267"/>
    <w:rsid w:val="00D20C00"/>
    <w:rsid w:val="00D32AA8"/>
    <w:rsid w:val="00D354BA"/>
    <w:rsid w:val="00D71C12"/>
    <w:rsid w:val="00D761FF"/>
    <w:rsid w:val="00DA592E"/>
    <w:rsid w:val="00DC1DEC"/>
    <w:rsid w:val="00DD1164"/>
    <w:rsid w:val="00E20815"/>
    <w:rsid w:val="00E20F0D"/>
    <w:rsid w:val="00E34BA0"/>
    <w:rsid w:val="00E375E4"/>
    <w:rsid w:val="00E4538D"/>
    <w:rsid w:val="00E51341"/>
    <w:rsid w:val="00E70DBE"/>
    <w:rsid w:val="00EB0A09"/>
    <w:rsid w:val="00EC4AE6"/>
    <w:rsid w:val="00F051A4"/>
    <w:rsid w:val="00F4461D"/>
    <w:rsid w:val="00F52170"/>
    <w:rsid w:val="00F94A26"/>
    <w:rsid w:val="00FB720B"/>
    <w:rsid w:val="00FC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8F72A-5E27-4794-83CB-FB2C2268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2"/>
  </w:style>
  <w:style w:type="paragraph" w:styleId="1">
    <w:name w:val="heading 1"/>
    <w:basedOn w:val="a"/>
    <w:link w:val="10"/>
    <w:uiPriority w:val="9"/>
    <w:qFormat/>
    <w:rsid w:val="00D35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44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7434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D354B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7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584B"/>
    <w:rPr>
      <w:color w:val="0000FF"/>
      <w:u w:val="single"/>
    </w:rPr>
  </w:style>
  <w:style w:type="paragraph" w:styleId="a5">
    <w:name w:val="header"/>
    <w:basedOn w:val="a"/>
    <w:link w:val="a6"/>
    <w:uiPriority w:val="99"/>
    <w:unhideWhenUsed/>
    <w:rsid w:val="001C2E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2E27"/>
  </w:style>
  <w:style w:type="paragraph" w:styleId="a7">
    <w:name w:val="footer"/>
    <w:basedOn w:val="a"/>
    <w:link w:val="a8"/>
    <w:uiPriority w:val="99"/>
    <w:unhideWhenUsed/>
    <w:rsid w:val="001C2E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2E27"/>
  </w:style>
  <w:style w:type="paragraph" w:styleId="a9">
    <w:name w:val="Balloon Text"/>
    <w:basedOn w:val="a"/>
    <w:link w:val="aa"/>
    <w:uiPriority w:val="99"/>
    <w:semiHidden/>
    <w:unhideWhenUsed/>
    <w:rsid w:val="00AE5F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5F3F"/>
    <w:rPr>
      <w:rFonts w:ascii="Tahoma" w:hAnsi="Tahoma" w:cs="Tahoma"/>
      <w:sz w:val="16"/>
      <w:szCs w:val="16"/>
    </w:rPr>
  </w:style>
  <w:style w:type="paragraph" w:customStyle="1" w:styleId="Iauiue">
    <w:name w:val="Iau?iue"/>
    <w:rsid w:val="0013076F"/>
    <w:pPr>
      <w:suppressAutoHyphens/>
      <w:spacing w:after="0" w:line="240" w:lineRule="auto"/>
    </w:pPr>
    <w:rPr>
      <w:rFonts w:ascii="Times New Roman" w:eastAsia="Arial" w:hAnsi="Times New Roman" w:cs="Times New Roman"/>
      <w:sz w:val="20"/>
      <w:szCs w:val="20"/>
      <w:lang w:eastAsia="ar-SA"/>
    </w:rPr>
  </w:style>
  <w:style w:type="table" w:styleId="ab">
    <w:name w:val="Table Grid"/>
    <w:basedOn w:val="a1"/>
    <w:uiPriority w:val="39"/>
    <w:unhideWhenUsed/>
    <w:rsid w:val="00C02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51341"/>
    <w:pPr>
      <w:overflowPunct w:val="0"/>
      <w:autoSpaceDE w:val="0"/>
      <w:spacing w:after="0" w:line="240" w:lineRule="auto"/>
      <w:ind w:left="720"/>
      <w:contextualSpacing/>
      <w:textAlignment w:val="baseline"/>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175">
      <w:bodyDiv w:val="1"/>
      <w:marLeft w:val="0"/>
      <w:marRight w:val="0"/>
      <w:marTop w:val="0"/>
      <w:marBottom w:val="0"/>
      <w:divBdr>
        <w:top w:val="none" w:sz="0" w:space="0" w:color="auto"/>
        <w:left w:val="none" w:sz="0" w:space="0" w:color="auto"/>
        <w:bottom w:val="none" w:sz="0" w:space="0" w:color="auto"/>
        <w:right w:val="none" w:sz="0" w:space="0" w:color="auto"/>
      </w:divBdr>
    </w:div>
    <w:div w:id="68118988">
      <w:bodyDiv w:val="1"/>
      <w:marLeft w:val="0"/>
      <w:marRight w:val="0"/>
      <w:marTop w:val="0"/>
      <w:marBottom w:val="0"/>
      <w:divBdr>
        <w:top w:val="none" w:sz="0" w:space="0" w:color="auto"/>
        <w:left w:val="none" w:sz="0" w:space="0" w:color="auto"/>
        <w:bottom w:val="none" w:sz="0" w:space="0" w:color="auto"/>
        <w:right w:val="none" w:sz="0" w:space="0" w:color="auto"/>
      </w:divBdr>
    </w:div>
    <w:div w:id="494300179">
      <w:bodyDiv w:val="1"/>
      <w:marLeft w:val="0"/>
      <w:marRight w:val="0"/>
      <w:marTop w:val="0"/>
      <w:marBottom w:val="0"/>
      <w:divBdr>
        <w:top w:val="none" w:sz="0" w:space="0" w:color="auto"/>
        <w:left w:val="none" w:sz="0" w:space="0" w:color="auto"/>
        <w:bottom w:val="none" w:sz="0" w:space="0" w:color="auto"/>
        <w:right w:val="none" w:sz="0" w:space="0" w:color="auto"/>
      </w:divBdr>
    </w:div>
    <w:div w:id="631591679">
      <w:bodyDiv w:val="1"/>
      <w:marLeft w:val="0"/>
      <w:marRight w:val="0"/>
      <w:marTop w:val="0"/>
      <w:marBottom w:val="0"/>
      <w:divBdr>
        <w:top w:val="none" w:sz="0" w:space="0" w:color="auto"/>
        <w:left w:val="none" w:sz="0" w:space="0" w:color="auto"/>
        <w:bottom w:val="none" w:sz="0" w:space="0" w:color="auto"/>
        <w:right w:val="none" w:sz="0" w:space="0" w:color="auto"/>
      </w:divBdr>
    </w:div>
    <w:div w:id="1032996969">
      <w:bodyDiv w:val="1"/>
      <w:marLeft w:val="0"/>
      <w:marRight w:val="0"/>
      <w:marTop w:val="0"/>
      <w:marBottom w:val="0"/>
      <w:divBdr>
        <w:top w:val="none" w:sz="0" w:space="0" w:color="auto"/>
        <w:left w:val="none" w:sz="0" w:space="0" w:color="auto"/>
        <w:bottom w:val="none" w:sz="0" w:space="0" w:color="auto"/>
        <w:right w:val="none" w:sz="0" w:space="0" w:color="auto"/>
      </w:divBdr>
    </w:div>
    <w:div w:id="18653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6AA1-22C4-4666-B530-B29752FF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1853</Words>
  <Characters>10565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Михаил Георгиевич</dc:creator>
  <cp:lastModifiedBy>Пользователь Windows</cp:lastModifiedBy>
  <cp:revision>23</cp:revision>
  <cp:lastPrinted>2019-11-27T04:05:00Z</cp:lastPrinted>
  <dcterms:created xsi:type="dcterms:W3CDTF">2020-06-16T04:58:00Z</dcterms:created>
  <dcterms:modified xsi:type="dcterms:W3CDTF">2021-06-08T08:34:00Z</dcterms:modified>
</cp:coreProperties>
</file>